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FF9" w:rsidRDefault="00B4631A">
      <w:pPr>
        <w:spacing w:after="0" w:line="259" w:lineRule="auto"/>
        <w:ind w:left="101" w:firstLine="0"/>
      </w:pPr>
      <w:bookmarkStart w:id="0" w:name="_GoBack"/>
      <w:bookmarkEnd w:id="0"/>
      <w:r>
        <w:rPr>
          <w:b/>
          <w:sz w:val="32"/>
        </w:rPr>
        <w:t xml:space="preserve">Circulation Policies </w:t>
      </w:r>
    </w:p>
    <w:p w:rsidR="00D05FF9" w:rsidRDefault="00B4631A">
      <w:pPr>
        <w:spacing w:after="17" w:line="265" w:lineRule="auto"/>
        <w:ind w:left="-5"/>
      </w:pPr>
      <w:r>
        <w:rPr>
          <w:b/>
        </w:rPr>
        <w:t xml:space="preserve">Borrowing Privileges - Eligibility to Borrow </w:t>
      </w:r>
    </w:p>
    <w:p w:rsidR="00D05FF9" w:rsidRDefault="00B4631A">
      <w:pPr>
        <w:ind w:right="13"/>
      </w:pPr>
      <w:r>
        <w:t xml:space="preserve">All residents of the city of Clinton are eligible for a FREE Clinton Public Library (CPL) card. Individuals issued a CPL card </w:t>
      </w:r>
      <w:r>
        <w:t xml:space="preserve">are eligible to borrow materials from the Clinton Public Library when the following conditions are met: </w:t>
      </w:r>
    </w:p>
    <w:p w:rsidR="00D05FF9" w:rsidRDefault="00B4631A">
      <w:pPr>
        <w:numPr>
          <w:ilvl w:val="0"/>
          <w:numId w:val="1"/>
        </w:numPr>
        <w:ind w:right="13" w:hanging="360"/>
      </w:pPr>
      <w:r>
        <w:t>No materials which are more than one month overdue on their card.</w:t>
      </w:r>
    </w:p>
    <w:p w:rsidR="00D05FF9" w:rsidRDefault="00B4631A">
      <w:pPr>
        <w:numPr>
          <w:ilvl w:val="0"/>
          <w:numId w:val="1"/>
        </w:numPr>
        <w:spacing w:after="307"/>
        <w:ind w:right="13" w:hanging="360"/>
      </w:pPr>
      <w:r>
        <w:t>No outstanding fines in excess of $5.00 have accrued to their card.</w:t>
      </w:r>
    </w:p>
    <w:p w:rsidR="00D05FF9" w:rsidRDefault="00B4631A">
      <w:pPr>
        <w:spacing w:after="17" w:line="265" w:lineRule="auto"/>
        <w:ind w:left="111"/>
      </w:pPr>
      <w:r>
        <w:rPr>
          <w:b/>
        </w:rPr>
        <w:t>Organizational Ca</w:t>
      </w:r>
      <w:r>
        <w:rPr>
          <w:b/>
        </w:rPr>
        <w:t xml:space="preserve">rds </w:t>
      </w:r>
    </w:p>
    <w:p w:rsidR="00D05FF9" w:rsidRDefault="00B4631A">
      <w:pPr>
        <w:spacing w:after="352"/>
        <w:ind w:left="111" w:right="13"/>
      </w:pPr>
      <w:r>
        <w:t xml:space="preserve">If an organization is interested in obtaining a library card, an official request must be made on </w:t>
      </w:r>
      <w:r>
        <w:t xml:space="preserve">the organization’s letterhead from the head of the organization specifying the person </w:t>
      </w:r>
      <w:r>
        <w:t>responsible for materials loaned. The organization will adhere to t</w:t>
      </w:r>
      <w:r>
        <w:t xml:space="preserve">he library rules and policies including fines. </w:t>
      </w:r>
    </w:p>
    <w:p w:rsidR="00D05FF9" w:rsidRDefault="00B4631A">
      <w:pPr>
        <w:spacing w:after="17" w:line="265" w:lineRule="auto"/>
        <w:ind w:left="111"/>
      </w:pPr>
      <w:r>
        <w:rPr>
          <w:b/>
        </w:rPr>
        <w:t xml:space="preserve">Clinton County Cards </w:t>
      </w:r>
    </w:p>
    <w:p w:rsidR="00D05FF9" w:rsidRDefault="00B4631A">
      <w:pPr>
        <w:spacing w:after="352"/>
        <w:ind w:left="111" w:right="13"/>
      </w:pPr>
      <w:r>
        <w:t>Rural residents of Clinton County may register for a library card at any one of the 6 libraries in the County. These cards are good throughout the County and State of Iowa through the St</w:t>
      </w:r>
      <w:r>
        <w:t xml:space="preserve">ate of Iowa Libraries Online (SILO) Open Access Program. There are no service restrictions. </w:t>
      </w:r>
    </w:p>
    <w:p w:rsidR="00D05FF9" w:rsidRDefault="00B4631A">
      <w:pPr>
        <w:spacing w:after="17" w:line="265" w:lineRule="auto"/>
        <w:ind w:left="111"/>
      </w:pPr>
      <w:r>
        <w:rPr>
          <w:b/>
        </w:rPr>
        <w:t xml:space="preserve">Non-Resident Fee-Based Cards and Visitors </w:t>
      </w:r>
    </w:p>
    <w:p w:rsidR="00D05FF9" w:rsidRDefault="00B4631A">
      <w:pPr>
        <w:numPr>
          <w:ilvl w:val="0"/>
          <w:numId w:val="2"/>
        </w:numPr>
        <w:ind w:left="804" w:right="13" w:hanging="358"/>
      </w:pPr>
      <w:r>
        <w:t>Non-residents who are not eligible for free cards may obtain a card for $50 per year.</w:t>
      </w:r>
    </w:p>
    <w:p w:rsidR="00D05FF9" w:rsidRDefault="00B4631A">
      <w:pPr>
        <w:numPr>
          <w:ilvl w:val="0"/>
          <w:numId w:val="2"/>
        </w:numPr>
        <w:spacing w:after="352"/>
        <w:ind w:left="804" w:right="13" w:hanging="358"/>
      </w:pPr>
      <w:r>
        <w:t>College students attending local c</w:t>
      </w:r>
      <w:r>
        <w:t>olleges as either residents or commuters are eligible for Clinton Public Library Cards.</w:t>
      </w:r>
    </w:p>
    <w:p w:rsidR="00D05FF9" w:rsidRDefault="00B4631A">
      <w:pPr>
        <w:spacing w:after="17" w:line="265" w:lineRule="auto"/>
        <w:ind w:left="111"/>
      </w:pPr>
      <w:r>
        <w:rPr>
          <w:b/>
        </w:rPr>
        <w:t xml:space="preserve">Identification to get a library card </w:t>
      </w:r>
    </w:p>
    <w:p w:rsidR="00D05FF9" w:rsidRDefault="00B4631A">
      <w:pPr>
        <w:ind w:left="111" w:right="105"/>
      </w:pPr>
      <w:r>
        <w:t>Library cards can be issued with identification containing current address. Young children can be issued cards when accompanied by</w:t>
      </w:r>
      <w:r>
        <w:t xml:space="preserve"> parent or guardian with proper identification. If your ID doesn't have your current address, please bring your ID with an item containing your current address: </w:t>
      </w:r>
    </w:p>
    <w:p w:rsidR="00D05FF9" w:rsidRDefault="00B4631A">
      <w:pPr>
        <w:numPr>
          <w:ilvl w:val="0"/>
          <w:numId w:val="2"/>
        </w:numPr>
        <w:ind w:left="804" w:right="13" w:hanging="358"/>
      </w:pPr>
      <w:r>
        <w:t>Utility bill (electric, gas, phone, cable TV)</w:t>
      </w:r>
    </w:p>
    <w:p w:rsidR="00D05FF9" w:rsidRDefault="00B4631A">
      <w:pPr>
        <w:numPr>
          <w:ilvl w:val="0"/>
          <w:numId w:val="2"/>
        </w:numPr>
        <w:ind w:left="804" w:right="13" w:hanging="358"/>
      </w:pPr>
      <w:r>
        <w:t>Car registration</w:t>
      </w:r>
    </w:p>
    <w:p w:rsidR="00D05FF9" w:rsidRDefault="00B4631A">
      <w:pPr>
        <w:numPr>
          <w:ilvl w:val="0"/>
          <w:numId w:val="2"/>
        </w:numPr>
        <w:ind w:left="804" w:right="13" w:hanging="358"/>
      </w:pPr>
      <w:r>
        <w:t>Cancelled letter addressed to your name at the address in question</w:t>
      </w:r>
    </w:p>
    <w:p w:rsidR="00D05FF9" w:rsidRDefault="00B4631A">
      <w:pPr>
        <w:numPr>
          <w:ilvl w:val="0"/>
          <w:numId w:val="2"/>
        </w:numPr>
        <w:ind w:left="804" w:right="13" w:hanging="358"/>
      </w:pPr>
      <w:r>
        <w:t>Bank statement or checkbook</w:t>
      </w:r>
    </w:p>
    <w:p w:rsidR="00D05FF9" w:rsidRDefault="00B4631A">
      <w:pPr>
        <w:spacing w:after="17" w:line="265" w:lineRule="auto"/>
        <w:ind w:left="-5"/>
      </w:pPr>
      <w:r>
        <w:rPr>
          <w:b/>
        </w:rPr>
        <w:t xml:space="preserve">Circulation Policy - Fines and Fees. </w:t>
      </w:r>
    </w:p>
    <w:p w:rsidR="00D05FF9" w:rsidRDefault="00B4631A">
      <w:pPr>
        <w:spacing w:after="357"/>
        <w:ind w:right="13"/>
      </w:pPr>
      <w:r>
        <w:t>The Clinton Public Library (CPL) has established, in addition to the table for lost or damaged items (listed below), the fo</w:t>
      </w:r>
      <w:r>
        <w:t xml:space="preserve">llowing schedule of fines for overdue materials as well as fees for other </w:t>
      </w:r>
      <w:r>
        <w:lastRenderedPageBreak/>
        <w:t>services provided by the CPL. The general rule is that fines do not exceed the cost of replacement</w:t>
      </w:r>
      <w:r>
        <w:rPr>
          <w:rFonts w:ascii="Arial" w:eastAsia="Arial" w:hAnsi="Arial" w:cs="Arial"/>
        </w:rPr>
        <w:t xml:space="preserve"> (</w:t>
      </w:r>
      <w:r>
        <w:t xml:space="preserve">listed in the item record).  </w:t>
      </w:r>
    </w:p>
    <w:p w:rsidR="00D05FF9" w:rsidRDefault="00B4631A">
      <w:pPr>
        <w:pStyle w:val="Heading1"/>
      </w:pPr>
      <w:r>
        <w:t>Children’s Material Exception</w:t>
      </w:r>
      <w:r>
        <w:t xml:space="preserve"> </w:t>
      </w:r>
    </w:p>
    <w:p w:rsidR="00D05FF9" w:rsidRDefault="00B4631A">
      <w:pPr>
        <w:spacing w:after="313"/>
        <w:ind w:right="13"/>
      </w:pPr>
      <w:r>
        <w:t>As of April 8th, 2019</w:t>
      </w:r>
      <w:r>
        <w:t>, all Juvenile Materials are fine free. Juvenile items are materials that are geared towards children 12 years or younger and are identified at CPL unde</w:t>
      </w:r>
      <w:r>
        <w:t xml:space="preserve">r “Juvenile”. Patrons </w:t>
      </w:r>
      <w:r>
        <w:t xml:space="preserve">are still responsible for any lost and/or unreturned items and will be subject to </w:t>
      </w:r>
      <w:r>
        <w:t xml:space="preserve">the billing process. </w:t>
      </w:r>
    </w:p>
    <w:p w:rsidR="00D05FF9" w:rsidRDefault="00B4631A">
      <w:pPr>
        <w:spacing w:after="17" w:line="265" w:lineRule="auto"/>
        <w:ind w:left="-5"/>
      </w:pPr>
      <w:r>
        <w:rPr>
          <w:b/>
        </w:rPr>
        <w:t xml:space="preserve">Overdue Materials: </w:t>
      </w:r>
    </w:p>
    <w:p w:rsidR="00D05FF9" w:rsidRDefault="00B4631A">
      <w:pPr>
        <w:numPr>
          <w:ilvl w:val="0"/>
          <w:numId w:val="3"/>
        </w:numPr>
        <w:ind w:left="804" w:right="13" w:hanging="358"/>
      </w:pPr>
      <w:r>
        <w:t>Books/Audio-Books/Kits: $0.20 per day, not to exceed the cost of replacement listed in the item record</w:t>
      </w:r>
    </w:p>
    <w:p w:rsidR="00D05FF9" w:rsidRDefault="00B4631A">
      <w:pPr>
        <w:numPr>
          <w:ilvl w:val="0"/>
          <w:numId w:val="3"/>
        </w:numPr>
        <w:spacing w:after="370"/>
        <w:ind w:left="804" w:right="13" w:hanging="358"/>
      </w:pPr>
      <w:r>
        <w:t>Video/Music CDs: $0.50 per day, not to exceed the cost of replacement listed in the item record</w:t>
      </w:r>
    </w:p>
    <w:p w:rsidR="00D05FF9" w:rsidRDefault="00B4631A">
      <w:pPr>
        <w:spacing w:after="17" w:line="265" w:lineRule="auto"/>
        <w:ind w:left="-5"/>
      </w:pPr>
      <w:r>
        <w:rPr>
          <w:b/>
        </w:rPr>
        <w:t xml:space="preserve">Notices: </w:t>
      </w:r>
    </w:p>
    <w:p w:rsidR="00D05FF9" w:rsidRDefault="00B4631A">
      <w:pPr>
        <w:spacing w:after="349"/>
        <w:ind w:right="13"/>
      </w:pPr>
      <w:r>
        <w:t>An in</w:t>
      </w:r>
      <w:r>
        <w:t>itial notice of overdue materials will go out to the patron 10 days after the due date of the item. Patrons with responsibility for material in any format which is more than 90 days overdue are also responsible for any and all collection and/or court costs</w:t>
      </w:r>
      <w:r>
        <w:t xml:space="preserve"> incurred by the library in its efforts to secure the return of the material. </w:t>
      </w:r>
    </w:p>
    <w:p w:rsidR="00D05FF9" w:rsidRDefault="00B4631A">
      <w:pPr>
        <w:spacing w:after="17" w:line="265" w:lineRule="auto"/>
        <w:ind w:left="-5"/>
      </w:pPr>
      <w:r>
        <w:rPr>
          <w:b/>
        </w:rPr>
        <w:t xml:space="preserve">Fees: </w:t>
      </w:r>
    </w:p>
    <w:p w:rsidR="00D05FF9" w:rsidRDefault="00B4631A">
      <w:pPr>
        <w:ind w:right="13"/>
      </w:pPr>
      <w:r>
        <w:t xml:space="preserve">The library reserves the right to adjust the fee schedule as needed. Fees are not refundable once collected. </w:t>
      </w:r>
    </w:p>
    <w:p w:rsidR="00D05FF9" w:rsidRDefault="00B4631A">
      <w:pPr>
        <w:numPr>
          <w:ilvl w:val="0"/>
          <w:numId w:val="3"/>
        </w:numPr>
        <w:spacing w:after="3" w:line="283" w:lineRule="auto"/>
        <w:ind w:left="804" w:right="13" w:hanging="358"/>
      </w:pPr>
      <w:r>
        <w:t xml:space="preserve">Photocopy &amp; Printers Fee: $0.15 per page for black and white; $0.35 for color. If </w:t>
      </w:r>
      <w:r>
        <w:t xml:space="preserve">enlargement or reduction is required by the patron, the “per page fee” applies to </w:t>
      </w:r>
      <w:r>
        <w:t xml:space="preserve">each step in that process. Enlargement and reduction </w:t>
      </w:r>
      <w:proofErr w:type="gramStart"/>
      <w:r>
        <w:t>is</w:t>
      </w:r>
      <w:proofErr w:type="gramEnd"/>
      <w:r>
        <w:t xml:space="preserve"> not an exact science and may take se</w:t>
      </w:r>
      <w:r>
        <w:t>veral pages.</w:t>
      </w:r>
    </w:p>
    <w:p w:rsidR="00D05FF9" w:rsidRDefault="00B4631A">
      <w:pPr>
        <w:numPr>
          <w:ilvl w:val="0"/>
          <w:numId w:val="3"/>
        </w:numPr>
        <w:ind w:left="804" w:right="13" w:hanging="358"/>
      </w:pPr>
      <w:r>
        <w:t>Microfilm Copy Fee: $0.25 per page.</w:t>
      </w:r>
    </w:p>
    <w:p w:rsidR="00D05FF9" w:rsidRDefault="00B4631A">
      <w:pPr>
        <w:numPr>
          <w:ilvl w:val="0"/>
          <w:numId w:val="3"/>
        </w:numPr>
        <w:ind w:left="804" w:right="13" w:hanging="358"/>
      </w:pPr>
      <w:r>
        <w:t>Service Fee: $1.00 service fee is attached to all accounts for which a mailed notice has been sent.</w:t>
      </w:r>
    </w:p>
    <w:p w:rsidR="00D05FF9" w:rsidRDefault="00B4631A">
      <w:pPr>
        <w:numPr>
          <w:ilvl w:val="0"/>
          <w:numId w:val="3"/>
        </w:numPr>
        <w:spacing w:after="3" w:line="283" w:lineRule="auto"/>
        <w:ind w:left="804" w:right="13" w:hanging="358"/>
      </w:pPr>
      <w:r>
        <w:t>Lost Library Cards Fee: $1.00 for each card. Patrons may have only one active card at a time. Note: This do</w:t>
      </w:r>
      <w:r>
        <w:t>es not apply to patrons who may be providing a special service for other patrons or representing the library. The library will make a special registration to accommodate.</w:t>
      </w:r>
    </w:p>
    <w:p w:rsidR="00D05FF9" w:rsidRDefault="00B4631A">
      <w:pPr>
        <w:spacing w:after="369" w:line="265" w:lineRule="auto"/>
        <w:ind w:left="171"/>
      </w:pPr>
      <w:r>
        <w:rPr>
          <w:b/>
        </w:rPr>
        <w:t xml:space="preserve">Circulation Policy - Length of Loans. </w:t>
      </w:r>
    </w:p>
    <w:p w:rsidR="00D05FF9" w:rsidRDefault="00B4631A">
      <w:pPr>
        <w:spacing w:after="114"/>
        <w:ind w:left="171" w:right="13"/>
      </w:pPr>
      <w:r>
        <w:lastRenderedPageBreak/>
        <w:t>The Clinton Public Library (CPL) circulates ma</w:t>
      </w:r>
      <w:r>
        <w:t xml:space="preserve">terials in a variety of formats including books, magazines, audio-books, kits, and video formats. These apply only to CPL materials and may not apply to other lending libraries. The following terms of loan are applicable as indicated: </w:t>
      </w:r>
    </w:p>
    <w:tbl>
      <w:tblPr>
        <w:tblStyle w:val="TableGrid"/>
        <w:tblW w:w="6934" w:type="dxa"/>
        <w:tblInd w:w="168" w:type="dxa"/>
        <w:tblCellMar>
          <w:top w:w="0" w:type="dxa"/>
          <w:left w:w="0" w:type="dxa"/>
          <w:bottom w:w="0" w:type="dxa"/>
          <w:right w:w="0" w:type="dxa"/>
        </w:tblCellMar>
        <w:tblLook w:val="04A0" w:firstRow="1" w:lastRow="0" w:firstColumn="1" w:lastColumn="0" w:noHBand="0" w:noVBand="1"/>
      </w:tblPr>
      <w:tblGrid>
        <w:gridCol w:w="2158"/>
        <w:gridCol w:w="2660"/>
        <w:gridCol w:w="2116"/>
      </w:tblGrid>
      <w:tr w:rsidR="00D05FF9">
        <w:trPr>
          <w:trHeight w:val="573"/>
        </w:trPr>
        <w:tc>
          <w:tcPr>
            <w:tcW w:w="2158" w:type="dxa"/>
            <w:tcBorders>
              <w:top w:val="nil"/>
              <w:left w:val="nil"/>
              <w:bottom w:val="nil"/>
              <w:right w:val="nil"/>
            </w:tcBorders>
          </w:tcPr>
          <w:p w:rsidR="00D05FF9" w:rsidRDefault="00B4631A">
            <w:pPr>
              <w:spacing w:after="15" w:line="259" w:lineRule="auto"/>
              <w:ind w:left="0" w:firstLine="0"/>
            </w:pPr>
            <w:r>
              <w:rPr>
                <w:b/>
              </w:rPr>
              <w:t xml:space="preserve">Item </w:t>
            </w:r>
          </w:p>
          <w:p w:rsidR="00D05FF9" w:rsidRDefault="00B4631A">
            <w:pPr>
              <w:spacing w:after="0" w:line="259" w:lineRule="auto"/>
              <w:ind w:left="0" w:firstLine="0"/>
            </w:pPr>
            <w:r>
              <w:t xml:space="preserve">Books </w:t>
            </w:r>
          </w:p>
        </w:tc>
        <w:tc>
          <w:tcPr>
            <w:tcW w:w="2660" w:type="dxa"/>
            <w:tcBorders>
              <w:top w:val="nil"/>
              <w:left w:val="nil"/>
              <w:bottom w:val="nil"/>
              <w:right w:val="nil"/>
            </w:tcBorders>
          </w:tcPr>
          <w:p w:rsidR="00D05FF9" w:rsidRDefault="00B4631A">
            <w:pPr>
              <w:spacing w:after="15" w:line="259" w:lineRule="auto"/>
              <w:ind w:left="0" w:firstLine="0"/>
            </w:pPr>
            <w:r>
              <w:rPr>
                <w:b/>
              </w:rPr>
              <w:t xml:space="preserve">Length </w:t>
            </w:r>
          </w:p>
          <w:p w:rsidR="00D05FF9" w:rsidRDefault="00B4631A">
            <w:pPr>
              <w:spacing w:after="0" w:line="259" w:lineRule="auto"/>
              <w:ind w:left="0" w:firstLine="0"/>
            </w:pPr>
            <w:r>
              <w:t xml:space="preserve">21 Days </w:t>
            </w:r>
          </w:p>
        </w:tc>
        <w:tc>
          <w:tcPr>
            <w:tcW w:w="2116" w:type="dxa"/>
            <w:tcBorders>
              <w:top w:val="nil"/>
              <w:left w:val="nil"/>
              <w:bottom w:val="nil"/>
              <w:right w:val="nil"/>
            </w:tcBorders>
          </w:tcPr>
          <w:p w:rsidR="00D05FF9" w:rsidRDefault="00B4631A">
            <w:pPr>
              <w:spacing w:after="0" w:line="259" w:lineRule="auto"/>
              <w:ind w:left="0" w:firstLine="0"/>
            </w:pPr>
            <w:r>
              <w:rPr>
                <w:rFonts w:ascii="Arial" w:eastAsia="Arial" w:hAnsi="Arial" w:cs="Arial"/>
                <w:b/>
              </w:rPr>
              <w:t>Renewals/Reserves</w:t>
            </w:r>
            <w:r>
              <w:rPr>
                <w:rFonts w:ascii="Arial" w:eastAsia="Arial" w:hAnsi="Arial" w:cs="Arial"/>
              </w:rPr>
              <w:t xml:space="preserve"> Yes </w:t>
            </w:r>
          </w:p>
        </w:tc>
      </w:tr>
      <w:tr w:rsidR="00D05FF9">
        <w:trPr>
          <w:trHeight w:val="312"/>
        </w:trPr>
        <w:tc>
          <w:tcPr>
            <w:tcW w:w="2158" w:type="dxa"/>
            <w:tcBorders>
              <w:top w:val="nil"/>
              <w:left w:val="nil"/>
              <w:bottom w:val="nil"/>
              <w:right w:val="nil"/>
            </w:tcBorders>
          </w:tcPr>
          <w:p w:rsidR="00D05FF9" w:rsidRDefault="00B4631A">
            <w:pPr>
              <w:spacing w:after="0" w:line="259" w:lineRule="auto"/>
              <w:ind w:left="0" w:firstLine="0"/>
            </w:pPr>
            <w:r>
              <w:t xml:space="preserve">Audio Books </w:t>
            </w:r>
          </w:p>
        </w:tc>
        <w:tc>
          <w:tcPr>
            <w:tcW w:w="2660" w:type="dxa"/>
            <w:tcBorders>
              <w:top w:val="nil"/>
              <w:left w:val="nil"/>
              <w:bottom w:val="nil"/>
              <w:right w:val="nil"/>
            </w:tcBorders>
          </w:tcPr>
          <w:p w:rsidR="00D05FF9" w:rsidRDefault="00B4631A">
            <w:pPr>
              <w:spacing w:after="0" w:line="259" w:lineRule="auto"/>
              <w:ind w:left="0" w:firstLine="0"/>
            </w:pPr>
            <w:r>
              <w:t xml:space="preserve">21 Days </w:t>
            </w:r>
          </w:p>
        </w:tc>
        <w:tc>
          <w:tcPr>
            <w:tcW w:w="2116" w:type="dxa"/>
            <w:tcBorders>
              <w:top w:val="nil"/>
              <w:left w:val="nil"/>
              <w:bottom w:val="nil"/>
              <w:right w:val="nil"/>
            </w:tcBorders>
          </w:tcPr>
          <w:p w:rsidR="00D05FF9" w:rsidRDefault="00B4631A">
            <w:pPr>
              <w:spacing w:after="0" w:line="259" w:lineRule="auto"/>
              <w:ind w:left="0" w:firstLine="0"/>
            </w:pPr>
            <w:r>
              <w:rPr>
                <w:rFonts w:ascii="Arial" w:eastAsia="Arial" w:hAnsi="Arial" w:cs="Arial"/>
              </w:rPr>
              <w:t xml:space="preserve">Yes </w:t>
            </w:r>
          </w:p>
        </w:tc>
      </w:tr>
      <w:tr w:rsidR="00D05FF9">
        <w:trPr>
          <w:trHeight w:val="312"/>
        </w:trPr>
        <w:tc>
          <w:tcPr>
            <w:tcW w:w="2158" w:type="dxa"/>
            <w:tcBorders>
              <w:top w:val="nil"/>
              <w:left w:val="nil"/>
              <w:bottom w:val="nil"/>
              <w:right w:val="nil"/>
            </w:tcBorders>
          </w:tcPr>
          <w:p w:rsidR="00D05FF9" w:rsidRDefault="00B4631A">
            <w:pPr>
              <w:spacing w:after="0" w:line="259" w:lineRule="auto"/>
              <w:ind w:left="0" w:firstLine="0"/>
            </w:pPr>
            <w:r>
              <w:t xml:space="preserve">Magazines </w:t>
            </w:r>
          </w:p>
        </w:tc>
        <w:tc>
          <w:tcPr>
            <w:tcW w:w="2660" w:type="dxa"/>
            <w:tcBorders>
              <w:top w:val="nil"/>
              <w:left w:val="nil"/>
              <w:bottom w:val="nil"/>
              <w:right w:val="nil"/>
            </w:tcBorders>
          </w:tcPr>
          <w:p w:rsidR="00D05FF9" w:rsidRDefault="00B4631A">
            <w:pPr>
              <w:spacing w:after="0" w:line="259" w:lineRule="auto"/>
              <w:ind w:left="0" w:firstLine="0"/>
            </w:pPr>
            <w:r>
              <w:t xml:space="preserve">21 Days </w:t>
            </w:r>
          </w:p>
        </w:tc>
        <w:tc>
          <w:tcPr>
            <w:tcW w:w="2116" w:type="dxa"/>
            <w:tcBorders>
              <w:top w:val="nil"/>
              <w:left w:val="nil"/>
              <w:bottom w:val="nil"/>
              <w:right w:val="nil"/>
            </w:tcBorders>
          </w:tcPr>
          <w:p w:rsidR="00D05FF9" w:rsidRDefault="00B4631A">
            <w:pPr>
              <w:spacing w:after="0" w:line="259" w:lineRule="auto"/>
              <w:ind w:left="0" w:firstLine="0"/>
            </w:pPr>
            <w:r>
              <w:rPr>
                <w:rFonts w:ascii="Arial" w:eastAsia="Arial" w:hAnsi="Arial" w:cs="Arial"/>
              </w:rPr>
              <w:t xml:space="preserve">No </w:t>
            </w:r>
          </w:p>
        </w:tc>
      </w:tr>
      <w:tr w:rsidR="00D05FF9">
        <w:trPr>
          <w:trHeight w:val="313"/>
        </w:trPr>
        <w:tc>
          <w:tcPr>
            <w:tcW w:w="2158" w:type="dxa"/>
            <w:tcBorders>
              <w:top w:val="nil"/>
              <w:left w:val="nil"/>
              <w:bottom w:val="nil"/>
              <w:right w:val="nil"/>
            </w:tcBorders>
          </w:tcPr>
          <w:p w:rsidR="00D05FF9" w:rsidRDefault="00B4631A">
            <w:pPr>
              <w:spacing w:after="0" w:line="259" w:lineRule="auto"/>
              <w:ind w:left="0" w:firstLine="0"/>
            </w:pPr>
            <w:r>
              <w:t xml:space="preserve">CDs </w:t>
            </w:r>
          </w:p>
        </w:tc>
        <w:tc>
          <w:tcPr>
            <w:tcW w:w="2660" w:type="dxa"/>
            <w:tcBorders>
              <w:top w:val="nil"/>
              <w:left w:val="nil"/>
              <w:bottom w:val="nil"/>
              <w:right w:val="nil"/>
            </w:tcBorders>
          </w:tcPr>
          <w:p w:rsidR="00D05FF9" w:rsidRDefault="00B4631A">
            <w:pPr>
              <w:spacing w:after="0" w:line="259" w:lineRule="auto"/>
              <w:ind w:left="0" w:firstLine="0"/>
            </w:pPr>
            <w:r>
              <w:t xml:space="preserve">21 Days </w:t>
            </w:r>
          </w:p>
        </w:tc>
        <w:tc>
          <w:tcPr>
            <w:tcW w:w="2116" w:type="dxa"/>
            <w:tcBorders>
              <w:top w:val="nil"/>
              <w:left w:val="nil"/>
              <w:bottom w:val="nil"/>
              <w:right w:val="nil"/>
            </w:tcBorders>
          </w:tcPr>
          <w:p w:rsidR="00D05FF9" w:rsidRDefault="00B4631A">
            <w:pPr>
              <w:spacing w:after="0" w:line="259" w:lineRule="auto"/>
              <w:ind w:left="0" w:firstLine="0"/>
            </w:pPr>
            <w:r>
              <w:rPr>
                <w:rFonts w:ascii="Arial" w:eastAsia="Arial" w:hAnsi="Arial" w:cs="Arial"/>
              </w:rPr>
              <w:t xml:space="preserve">Yes </w:t>
            </w:r>
          </w:p>
        </w:tc>
      </w:tr>
      <w:tr w:rsidR="00D05FF9">
        <w:trPr>
          <w:trHeight w:val="313"/>
        </w:trPr>
        <w:tc>
          <w:tcPr>
            <w:tcW w:w="2158" w:type="dxa"/>
            <w:tcBorders>
              <w:top w:val="nil"/>
              <w:left w:val="nil"/>
              <w:bottom w:val="nil"/>
              <w:right w:val="nil"/>
            </w:tcBorders>
          </w:tcPr>
          <w:p w:rsidR="00D05FF9" w:rsidRDefault="00B4631A">
            <w:pPr>
              <w:spacing w:after="0" w:line="259" w:lineRule="auto"/>
              <w:ind w:left="0" w:firstLine="0"/>
            </w:pPr>
            <w:r>
              <w:t xml:space="preserve">Reference </w:t>
            </w:r>
          </w:p>
        </w:tc>
        <w:tc>
          <w:tcPr>
            <w:tcW w:w="2660" w:type="dxa"/>
            <w:tcBorders>
              <w:top w:val="nil"/>
              <w:left w:val="nil"/>
              <w:bottom w:val="nil"/>
              <w:right w:val="nil"/>
            </w:tcBorders>
          </w:tcPr>
          <w:p w:rsidR="00D05FF9" w:rsidRDefault="00B4631A">
            <w:pPr>
              <w:spacing w:after="0" w:line="259" w:lineRule="auto"/>
              <w:ind w:left="0" w:firstLine="0"/>
            </w:pPr>
            <w:r>
              <w:t xml:space="preserve">Overnight, if allowed </w:t>
            </w:r>
          </w:p>
        </w:tc>
        <w:tc>
          <w:tcPr>
            <w:tcW w:w="2116" w:type="dxa"/>
            <w:tcBorders>
              <w:top w:val="nil"/>
              <w:left w:val="nil"/>
              <w:bottom w:val="nil"/>
              <w:right w:val="nil"/>
            </w:tcBorders>
          </w:tcPr>
          <w:p w:rsidR="00D05FF9" w:rsidRDefault="00B4631A">
            <w:pPr>
              <w:spacing w:after="0" w:line="259" w:lineRule="auto"/>
              <w:ind w:left="0" w:firstLine="0"/>
            </w:pPr>
            <w:r>
              <w:rPr>
                <w:rFonts w:ascii="Arial" w:eastAsia="Arial" w:hAnsi="Arial" w:cs="Arial"/>
              </w:rPr>
              <w:t xml:space="preserve">No </w:t>
            </w:r>
          </w:p>
        </w:tc>
      </w:tr>
      <w:tr w:rsidR="00D05FF9">
        <w:trPr>
          <w:trHeight w:val="937"/>
        </w:trPr>
        <w:tc>
          <w:tcPr>
            <w:tcW w:w="2158" w:type="dxa"/>
            <w:tcBorders>
              <w:top w:val="nil"/>
              <w:left w:val="nil"/>
              <w:bottom w:val="nil"/>
              <w:right w:val="nil"/>
            </w:tcBorders>
          </w:tcPr>
          <w:p w:rsidR="00D05FF9" w:rsidRDefault="00B4631A">
            <w:pPr>
              <w:spacing w:after="0" w:line="259" w:lineRule="auto"/>
              <w:ind w:left="0" w:firstLine="0"/>
            </w:pPr>
            <w:r>
              <w:t xml:space="preserve">Videos (all formats) </w:t>
            </w:r>
          </w:p>
          <w:p w:rsidR="00D05FF9" w:rsidRDefault="00B4631A">
            <w:pPr>
              <w:spacing w:after="0" w:line="259" w:lineRule="auto"/>
              <w:ind w:left="0" w:firstLine="0"/>
            </w:pPr>
            <w:r>
              <w:t xml:space="preserve">Kits </w:t>
            </w:r>
          </w:p>
          <w:p w:rsidR="00D05FF9" w:rsidRDefault="00B4631A">
            <w:pPr>
              <w:spacing w:after="0" w:line="259" w:lineRule="auto"/>
              <w:ind w:left="0" w:firstLine="0"/>
            </w:pPr>
            <w:r>
              <w:t xml:space="preserve">Language Sets </w:t>
            </w:r>
          </w:p>
        </w:tc>
        <w:tc>
          <w:tcPr>
            <w:tcW w:w="2660" w:type="dxa"/>
            <w:tcBorders>
              <w:top w:val="nil"/>
              <w:left w:val="nil"/>
              <w:bottom w:val="nil"/>
              <w:right w:val="nil"/>
            </w:tcBorders>
          </w:tcPr>
          <w:p w:rsidR="00D05FF9" w:rsidRDefault="00B4631A">
            <w:pPr>
              <w:spacing w:after="0" w:line="259" w:lineRule="auto"/>
              <w:ind w:left="0" w:firstLine="0"/>
            </w:pPr>
            <w:r>
              <w:t xml:space="preserve">7 Days, Limit </w:t>
            </w:r>
            <w:r>
              <w:t>10</w:t>
            </w:r>
          </w:p>
          <w:p w:rsidR="00D05FF9" w:rsidRDefault="00B4631A">
            <w:pPr>
              <w:spacing w:after="0" w:line="259" w:lineRule="auto"/>
              <w:ind w:left="0" w:firstLine="0"/>
            </w:pPr>
            <w:r>
              <w:t xml:space="preserve">21 Days </w:t>
            </w:r>
          </w:p>
          <w:p w:rsidR="00D05FF9" w:rsidRDefault="00B4631A">
            <w:pPr>
              <w:spacing w:after="0" w:line="259" w:lineRule="auto"/>
              <w:ind w:left="0" w:firstLine="0"/>
            </w:pPr>
            <w:r>
              <w:t xml:space="preserve">60 Days or as specified </w:t>
            </w:r>
          </w:p>
        </w:tc>
        <w:tc>
          <w:tcPr>
            <w:tcW w:w="2116" w:type="dxa"/>
            <w:tcBorders>
              <w:top w:val="nil"/>
              <w:left w:val="nil"/>
              <w:bottom w:val="nil"/>
              <w:right w:val="nil"/>
            </w:tcBorders>
          </w:tcPr>
          <w:p w:rsidR="00D05FF9" w:rsidRDefault="00B4631A">
            <w:pPr>
              <w:spacing w:after="38" w:line="259" w:lineRule="auto"/>
              <w:ind w:left="0" w:firstLine="0"/>
            </w:pPr>
            <w:r>
              <w:rPr>
                <w:rFonts w:ascii="Arial" w:eastAsia="Arial" w:hAnsi="Arial" w:cs="Arial"/>
              </w:rPr>
              <w:t xml:space="preserve">No, Yes </w:t>
            </w:r>
          </w:p>
          <w:p w:rsidR="00D05FF9" w:rsidRDefault="00B4631A">
            <w:pPr>
              <w:spacing w:after="38" w:line="259" w:lineRule="auto"/>
              <w:ind w:left="0" w:firstLine="0"/>
            </w:pPr>
            <w:r>
              <w:rPr>
                <w:rFonts w:ascii="Arial" w:eastAsia="Arial" w:hAnsi="Arial" w:cs="Arial"/>
              </w:rPr>
              <w:t xml:space="preserve">No </w:t>
            </w:r>
          </w:p>
          <w:p w:rsidR="00D05FF9" w:rsidRDefault="00B4631A">
            <w:pPr>
              <w:spacing w:after="0" w:line="259" w:lineRule="auto"/>
              <w:ind w:left="0" w:firstLine="0"/>
            </w:pPr>
            <w:r>
              <w:rPr>
                <w:rFonts w:ascii="Arial" w:eastAsia="Arial" w:hAnsi="Arial" w:cs="Arial"/>
              </w:rPr>
              <w:t xml:space="preserve">No </w:t>
            </w:r>
          </w:p>
        </w:tc>
      </w:tr>
      <w:tr w:rsidR="00D05FF9">
        <w:trPr>
          <w:trHeight w:val="313"/>
        </w:trPr>
        <w:tc>
          <w:tcPr>
            <w:tcW w:w="2158" w:type="dxa"/>
            <w:tcBorders>
              <w:top w:val="nil"/>
              <w:left w:val="nil"/>
              <w:bottom w:val="nil"/>
              <w:right w:val="nil"/>
            </w:tcBorders>
          </w:tcPr>
          <w:p w:rsidR="00D05FF9" w:rsidRDefault="00B4631A">
            <w:pPr>
              <w:spacing w:after="0" w:line="259" w:lineRule="auto"/>
              <w:ind w:left="0" w:firstLine="0"/>
            </w:pPr>
            <w:r>
              <w:t xml:space="preserve">Equipment </w:t>
            </w:r>
          </w:p>
        </w:tc>
        <w:tc>
          <w:tcPr>
            <w:tcW w:w="2660" w:type="dxa"/>
            <w:tcBorders>
              <w:top w:val="nil"/>
              <w:left w:val="nil"/>
              <w:bottom w:val="nil"/>
              <w:right w:val="nil"/>
            </w:tcBorders>
          </w:tcPr>
          <w:p w:rsidR="00D05FF9" w:rsidRDefault="00B4631A">
            <w:pPr>
              <w:spacing w:after="0" w:line="259" w:lineRule="auto"/>
              <w:ind w:left="0" w:firstLine="0"/>
            </w:pPr>
            <w:r>
              <w:t xml:space="preserve">Overnight or as specified </w:t>
            </w:r>
          </w:p>
        </w:tc>
        <w:tc>
          <w:tcPr>
            <w:tcW w:w="2116" w:type="dxa"/>
            <w:tcBorders>
              <w:top w:val="nil"/>
              <w:left w:val="nil"/>
              <w:bottom w:val="nil"/>
              <w:right w:val="nil"/>
            </w:tcBorders>
          </w:tcPr>
          <w:p w:rsidR="00D05FF9" w:rsidRDefault="00B4631A">
            <w:pPr>
              <w:spacing w:after="0" w:line="259" w:lineRule="auto"/>
              <w:ind w:left="0" w:firstLine="0"/>
            </w:pPr>
            <w:r>
              <w:rPr>
                <w:rFonts w:ascii="Arial" w:eastAsia="Arial" w:hAnsi="Arial" w:cs="Arial"/>
              </w:rPr>
              <w:t xml:space="preserve">Yes </w:t>
            </w:r>
          </w:p>
        </w:tc>
      </w:tr>
      <w:tr w:rsidR="00D05FF9">
        <w:trPr>
          <w:trHeight w:val="312"/>
        </w:trPr>
        <w:tc>
          <w:tcPr>
            <w:tcW w:w="2158" w:type="dxa"/>
            <w:tcBorders>
              <w:top w:val="nil"/>
              <w:left w:val="nil"/>
              <w:bottom w:val="nil"/>
              <w:right w:val="nil"/>
            </w:tcBorders>
          </w:tcPr>
          <w:p w:rsidR="00D05FF9" w:rsidRDefault="00B4631A">
            <w:pPr>
              <w:spacing w:after="0" w:line="259" w:lineRule="auto"/>
              <w:ind w:left="0" w:firstLine="0"/>
            </w:pPr>
            <w:r>
              <w:t xml:space="preserve">Vacation Loan </w:t>
            </w:r>
          </w:p>
        </w:tc>
        <w:tc>
          <w:tcPr>
            <w:tcW w:w="2660" w:type="dxa"/>
            <w:tcBorders>
              <w:top w:val="nil"/>
              <w:left w:val="nil"/>
              <w:bottom w:val="nil"/>
              <w:right w:val="nil"/>
            </w:tcBorders>
          </w:tcPr>
          <w:p w:rsidR="00D05FF9" w:rsidRDefault="00B4631A">
            <w:pPr>
              <w:spacing w:after="0" w:line="259" w:lineRule="auto"/>
              <w:ind w:left="0" w:firstLine="0"/>
            </w:pPr>
            <w:r>
              <w:t xml:space="preserve">60 Days (4x/year) </w:t>
            </w:r>
          </w:p>
        </w:tc>
        <w:tc>
          <w:tcPr>
            <w:tcW w:w="2116" w:type="dxa"/>
            <w:tcBorders>
              <w:top w:val="nil"/>
              <w:left w:val="nil"/>
              <w:bottom w:val="nil"/>
              <w:right w:val="nil"/>
            </w:tcBorders>
          </w:tcPr>
          <w:p w:rsidR="00D05FF9" w:rsidRDefault="00B4631A">
            <w:pPr>
              <w:spacing w:after="0" w:line="259" w:lineRule="auto"/>
              <w:ind w:left="0" w:firstLine="0"/>
            </w:pPr>
            <w:r>
              <w:rPr>
                <w:rFonts w:ascii="Arial" w:eastAsia="Arial" w:hAnsi="Arial" w:cs="Arial"/>
              </w:rPr>
              <w:t xml:space="preserve">No </w:t>
            </w:r>
          </w:p>
        </w:tc>
      </w:tr>
      <w:tr w:rsidR="00D05FF9">
        <w:trPr>
          <w:trHeight w:val="289"/>
        </w:trPr>
        <w:tc>
          <w:tcPr>
            <w:tcW w:w="2158" w:type="dxa"/>
            <w:tcBorders>
              <w:top w:val="nil"/>
              <w:left w:val="nil"/>
              <w:bottom w:val="nil"/>
              <w:right w:val="nil"/>
            </w:tcBorders>
          </w:tcPr>
          <w:p w:rsidR="00D05FF9" w:rsidRDefault="00B4631A">
            <w:pPr>
              <w:spacing w:after="0" w:line="259" w:lineRule="auto"/>
              <w:ind w:left="0" w:firstLine="0"/>
            </w:pPr>
            <w:proofErr w:type="spellStart"/>
            <w:r>
              <w:t>Playaways</w:t>
            </w:r>
            <w:proofErr w:type="spellEnd"/>
            <w:r>
              <w:t xml:space="preserve"> </w:t>
            </w:r>
          </w:p>
        </w:tc>
        <w:tc>
          <w:tcPr>
            <w:tcW w:w="2660" w:type="dxa"/>
            <w:tcBorders>
              <w:top w:val="nil"/>
              <w:left w:val="nil"/>
              <w:bottom w:val="nil"/>
              <w:right w:val="nil"/>
            </w:tcBorders>
          </w:tcPr>
          <w:p w:rsidR="00D05FF9" w:rsidRDefault="00B4631A">
            <w:pPr>
              <w:spacing w:after="0" w:line="259" w:lineRule="auto"/>
              <w:ind w:left="0" w:firstLine="0"/>
            </w:pPr>
            <w:r>
              <w:t xml:space="preserve">21 Days </w:t>
            </w:r>
          </w:p>
        </w:tc>
        <w:tc>
          <w:tcPr>
            <w:tcW w:w="2116" w:type="dxa"/>
            <w:tcBorders>
              <w:top w:val="nil"/>
              <w:left w:val="nil"/>
              <w:bottom w:val="nil"/>
              <w:right w:val="nil"/>
            </w:tcBorders>
          </w:tcPr>
          <w:p w:rsidR="00D05FF9" w:rsidRDefault="00B4631A">
            <w:pPr>
              <w:spacing w:after="0" w:line="259" w:lineRule="auto"/>
              <w:ind w:left="0" w:firstLine="0"/>
            </w:pPr>
            <w:r>
              <w:rPr>
                <w:rFonts w:ascii="Arial" w:eastAsia="Arial" w:hAnsi="Arial" w:cs="Arial"/>
              </w:rPr>
              <w:t xml:space="preserve">Yes </w:t>
            </w:r>
          </w:p>
        </w:tc>
      </w:tr>
    </w:tbl>
    <w:p w:rsidR="00D05FF9" w:rsidRDefault="00B4631A">
      <w:pPr>
        <w:spacing w:after="115" w:line="265" w:lineRule="auto"/>
        <w:ind w:left="-5"/>
      </w:pPr>
      <w:r>
        <w:rPr>
          <w:b/>
        </w:rPr>
        <w:t xml:space="preserve">Circulation Policy - Lost and/or Damaged Materials. </w:t>
      </w:r>
    </w:p>
    <w:p w:rsidR="00D05FF9" w:rsidRDefault="00B4631A">
      <w:pPr>
        <w:spacing w:after="67" w:line="357" w:lineRule="auto"/>
        <w:ind w:right="13"/>
      </w:pPr>
      <w:r>
        <w:t xml:space="preserve">Materials borrowed via any mechanism are the responsibility of the </w:t>
      </w:r>
      <w:r>
        <w:t>library patron. Replacement cost (listed in the item record) is the responsibility of any patron who borrows and loses or damages any library material. We do not accept like items for replacement. In the case of children under the age of 18, it is the PARE</w:t>
      </w:r>
      <w:r>
        <w:t xml:space="preserve">NTS RESPONSIBILITY to pay for lost or damaged items.  </w:t>
      </w:r>
    </w:p>
    <w:p w:rsidR="00D05FF9" w:rsidRDefault="00B4631A">
      <w:pPr>
        <w:numPr>
          <w:ilvl w:val="0"/>
          <w:numId w:val="4"/>
        </w:numPr>
        <w:spacing w:after="175"/>
        <w:ind w:right="13" w:hanging="360"/>
      </w:pPr>
      <w:r>
        <w:t>Bindery repair: Actual Cost (minimum $14.00)</w:t>
      </w:r>
    </w:p>
    <w:p w:rsidR="00D05FF9" w:rsidRDefault="00B4631A">
      <w:pPr>
        <w:numPr>
          <w:ilvl w:val="0"/>
          <w:numId w:val="4"/>
        </w:numPr>
        <w:spacing w:after="177"/>
        <w:ind w:right="13" w:hanging="360"/>
      </w:pPr>
      <w:r>
        <w:t>Minor in-house repair (tape, glue, covers etc.): Actual Cost (minimum $3.00)</w:t>
      </w:r>
    </w:p>
    <w:p w:rsidR="00D05FF9" w:rsidRDefault="00B4631A">
      <w:pPr>
        <w:numPr>
          <w:ilvl w:val="0"/>
          <w:numId w:val="4"/>
        </w:numPr>
        <w:spacing w:after="107"/>
        <w:ind w:right="13" w:hanging="360"/>
      </w:pPr>
      <w:r>
        <w:t>Major in-</w:t>
      </w:r>
      <w:r>
        <w:t>house repair (CD, DVD, VIDEO and other special containers): Actual Cost</w:t>
      </w:r>
    </w:p>
    <w:p w:rsidR="00D05FF9" w:rsidRDefault="00B4631A">
      <w:pPr>
        <w:spacing w:after="109"/>
        <w:ind w:left="730" w:right="13"/>
      </w:pPr>
      <w:r>
        <w:t>(minimum $6.00)</w:t>
      </w:r>
    </w:p>
    <w:p w:rsidR="00D05FF9" w:rsidRDefault="00B4631A">
      <w:pPr>
        <w:spacing w:after="440" w:line="357" w:lineRule="auto"/>
        <w:ind w:right="13"/>
      </w:pPr>
      <w:r>
        <w:t xml:space="preserve">Materials borrowed through interlibrary loan which are lost or damaged are charged to the patron according to the bill provided by the lending library.   </w:t>
      </w:r>
    </w:p>
    <w:p w:rsidR="00D05FF9" w:rsidRDefault="00B4631A">
      <w:pPr>
        <w:spacing w:after="0" w:line="259" w:lineRule="auto"/>
        <w:ind w:left="0" w:firstLine="0"/>
      </w:pPr>
      <w:r>
        <w:rPr>
          <w:i/>
        </w:rPr>
        <w:t>Policy Review</w:t>
      </w:r>
      <w:r>
        <w:rPr>
          <w:i/>
        </w:rPr>
        <w:t xml:space="preserve">ed, Revised &amp; Scheduled for review by the Clinton Public Library Board of Trustees </w:t>
      </w:r>
    </w:p>
    <w:tbl>
      <w:tblPr>
        <w:tblStyle w:val="TableGrid"/>
        <w:tblW w:w="7648" w:type="dxa"/>
        <w:tblInd w:w="866" w:type="dxa"/>
        <w:tblCellMar>
          <w:top w:w="47" w:type="dxa"/>
          <w:left w:w="67" w:type="dxa"/>
          <w:bottom w:w="0" w:type="dxa"/>
          <w:right w:w="115" w:type="dxa"/>
        </w:tblCellMar>
        <w:tblLook w:val="04A0" w:firstRow="1" w:lastRow="0" w:firstColumn="1" w:lastColumn="0" w:noHBand="0" w:noVBand="1"/>
      </w:tblPr>
      <w:tblGrid>
        <w:gridCol w:w="1708"/>
        <w:gridCol w:w="1980"/>
        <w:gridCol w:w="1889"/>
        <w:gridCol w:w="2071"/>
      </w:tblGrid>
      <w:tr w:rsidR="00D05FF9">
        <w:trPr>
          <w:trHeight w:val="648"/>
        </w:trPr>
        <w:tc>
          <w:tcPr>
            <w:tcW w:w="1707"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3" w:firstLine="0"/>
            </w:pPr>
            <w:r>
              <w:rPr>
                <w:sz w:val="24"/>
              </w:rPr>
              <w:t xml:space="preserve">Adopted </w:t>
            </w:r>
          </w:p>
        </w:tc>
        <w:tc>
          <w:tcPr>
            <w:tcW w:w="1980"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1" w:firstLine="0"/>
            </w:pPr>
            <w:r>
              <w:rPr>
                <w:sz w:val="24"/>
              </w:rPr>
              <w:t xml:space="preserve">Revised </w:t>
            </w:r>
          </w:p>
        </w:tc>
        <w:tc>
          <w:tcPr>
            <w:tcW w:w="1889"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1" w:firstLine="0"/>
            </w:pPr>
            <w:r>
              <w:rPr>
                <w:sz w:val="24"/>
              </w:rPr>
              <w:t xml:space="preserve">Reviewed </w:t>
            </w:r>
          </w:p>
        </w:tc>
        <w:tc>
          <w:tcPr>
            <w:tcW w:w="2071"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3" w:firstLine="0"/>
            </w:pPr>
            <w:r>
              <w:rPr>
                <w:sz w:val="24"/>
              </w:rPr>
              <w:t xml:space="preserve">Date of next review </w:t>
            </w:r>
          </w:p>
        </w:tc>
      </w:tr>
      <w:tr w:rsidR="00D05FF9">
        <w:trPr>
          <w:trHeight w:val="329"/>
        </w:trPr>
        <w:tc>
          <w:tcPr>
            <w:tcW w:w="1707"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3" w:firstLine="0"/>
            </w:pPr>
            <w:r>
              <w:rPr>
                <w:sz w:val="24"/>
              </w:rPr>
              <w:t xml:space="preserve">9.9.1992 </w:t>
            </w:r>
          </w:p>
        </w:tc>
        <w:tc>
          <w:tcPr>
            <w:tcW w:w="1980"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1" w:firstLine="0"/>
            </w:pPr>
            <w:r>
              <w:rPr>
                <w:sz w:val="24"/>
              </w:rPr>
              <w:t xml:space="preserve">5.10.2005 </w:t>
            </w:r>
          </w:p>
        </w:tc>
        <w:tc>
          <w:tcPr>
            <w:tcW w:w="1889"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1" w:firstLine="0"/>
            </w:pPr>
            <w:r>
              <w:rPr>
                <w:sz w:val="24"/>
              </w:rPr>
              <w:t xml:space="preserve">12.8.1999 </w:t>
            </w:r>
          </w:p>
        </w:tc>
        <w:tc>
          <w:tcPr>
            <w:tcW w:w="2071"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27" w:firstLine="0"/>
            </w:pPr>
            <w:r>
              <w:rPr>
                <w:sz w:val="24"/>
              </w:rPr>
              <w:t xml:space="preserve">Dec. 2022 </w:t>
            </w:r>
          </w:p>
        </w:tc>
      </w:tr>
      <w:tr w:rsidR="00D05FF9">
        <w:trPr>
          <w:trHeight w:val="329"/>
        </w:trPr>
        <w:tc>
          <w:tcPr>
            <w:tcW w:w="1707"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1" w:firstLine="0"/>
            </w:pPr>
            <w:r>
              <w:rPr>
                <w:sz w:val="24"/>
              </w:rPr>
              <w:t xml:space="preserve">5/2007 </w:t>
            </w:r>
          </w:p>
        </w:tc>
        <w:tc>
          <w:tcPr>
            <w:tcW w:w="1889"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1" w:firstLine="0"/>
            </w:pPr>
            <w:r>
              <w:rPr>
                <w:sz w:val="24"/>
              </w:rPr>
              <w:t xml:space="preserve">9/2002 </w:t>
            </w:r>
          </w:p>
        </w:tc>
        <w:tc>
          <w:tcPr>
            <w:tcW w:w="2071"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r>
      <w:tr w:rsidR="00D05FF9">
        <w:trPr>
          <w:trHeight w:val="329"/>
        </w:trPr>
        <w:tc>
          <w:tcPr>
            <w:tcW w:w="1707"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1" w:firstLine="0"/>
            </w:pPr>
            <w:r>
              <w:rPr>
                <w:sz w:val="24"/>
              </w:rPr>
              <w:t xml:space="preserve">5/2010 </w:t>
            </w:r>
          </w:p>
        </w:tc>
        <w:tc>
          <w:tcPr>
            <w:tcW w:w="1889"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1" w:firstLine="0"/>
            </w:pPr>
            <w:r>
              <w:rPr>
                <w:sz w:val="24"/>
              </w:rPr>
              <w:t xml:space="preserve">1.15.2003 </w:t>
            </w:r>
          </w:p>
        </w:tc>
        <w:tc>
          <w:tcPr>
            <w:tcW w:w="2071"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r>
      <w:tr w:rsidR="00D05FF9">
        <w:trPr>
          <w:trHeight w:val="331"/>
        </w:trPr>
        <w:tc>
          <w:tcPr>
            <w:tcW w:w="1707"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1" w:firstLine="0"/>
            </w:pPr>
            <w:r>
              <w:rPr>
                <w:sz w:val="24"/>
              </w:rPr>
              <w:t xml:space="preserve">7/2015 </w:t>
            </w:r>
          </w:p>
        </w:tc>
        <w:tc>
          <w:tcPr>
            <w:tcW w:w="1889"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1" w:firstLine="0"/>
            </w:pPr>
            <w:r>
              <w:rPr>
                <w:sz w:val="24"/>
              </w:rPr>
              <w:t xml:space="preserve">5/2007 </w:t>
            </w:r>
          </w:p>
        </w:tc>
        <w:tc>
          <w:tcPr>
            <w:tcW w:w="2071"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r>
      <w:tr w:rsidR="00D05FF9">
        <w:trPr>
          <w:trHeight w:val="329"/>
        </w:trPr>
        <w:tc>
          <w:tcPr>
            <w:tcW w:w="1707"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41" w:firstLine="0"/>
            </w:pPr>
            <w:r>
              <w:rPr>
                <w:sz w:val="24"/>
              </w:rPr>
              <w:t xml:space="preserve">1/2020 </w:t>
            </w:r>
          </w:p>
        </w:tc>
        <w:tc>
          <w:tcPr>
            <w:tcW w:w="1889" w:type="dxa"/>
            <w:tcBorders>
              <w:top w:val="single" w:sz="4" w:space="0" w:color="000000"/>
              <w:left w:val="single" w:sz="4" w:space="0" w:color="000000"/>
              <w:bottom w:val="single" w:sz="4" w:space="0" w:color="000000"/>
              <w:right w:val="single" w:sz="4" w:space="0" w:color="000000"/>
            </w:tcBorders>
          </w:tcPr>
          <w:p w:rsidR="00D05FF9" w:rsidRDefault="00B4631A">
            <w:pPr>
              <w:spacing w:after="0" w:line="259" w:lineRule="auto"/>
              <w:ind w:left="0" w:firstLine="0"/>
            </w:pPr>
            <w:r>
              <w:rPr>
                <w:sz w:val="24"/>
              </w:rPr>
              <w:t xml:space="preserve">12/2019 </w:t>
            </w:r>
          </w:p>
        </w:tc>
        <w:tc>
          <w:tcPr>
            <w:tcW w:w="2071"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r>
      <w:tr w:rsidR="00D05FF9">
        <w:trPr>
          <w:trHeight w:val="329"/>
        </w:trPr>
        <w:tc>
          <w:tcPr>
            <w:tcW w:w="1707"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vAlign w:val="bottom"/>
          </w:tcPr>
          <w:p w:rsidR="00D05FF9" w:rsidRDefault="00B4631A">
            <w:pPr>
              <w:spacing w:after="0" w:line="259" w:lineRule="auto"/>
              <w:ind w:left="5" w:firstLine="0"/>
            </w:pPr>
            <w:r>
              <w:rPr>
                <w:sz w:val="24"/>
              </w:rPr>
              <w:t>2/15/2021</w:t>
            </w:r>
          </w:p>
        </w:tc>
        <w:tc>
          <w:tcPr>
            <w:tcW w:w="1889"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c>
          <w:tcPr>
            <w:tcW w:w="2071"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r>
      <w:tr w:rsidR="00D05FF9">
        <w:trPr>
          <w:trHeight w:val="329"/>
        </w:trPr>
        <w:tc>
          <w:tcPr>
            <w:tcW w:w="1707"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c>
          <w:tcPr>
            <w:tcW w:w="1889"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c>
          <w:tcPr>
            <w:tcW w:w="2071" w:type="dxa"/>
            <w:tcBorders>
              <w:top w:val="single" w:sz="4" w:space="0" w:color="000000"/>
              <w:left w:val="single" w:sz="4" w:space="0" w:color="000000"/>
              <w:bottom w:val="single" w:sz="4" w:space="0" w:color="000000"/>
              <w:right w:val="single" w:sz="4" w:space="0" w:color="000000"/>
            </w:tcBorders>
          </w:tcPr>
          <w:p w:rsidR="00D05FF9" w:rsidRDefault="00D05FF9">
            <w:pPr>
              <w:spacing w:after="160" w:line="259" w:lineRule="auto"/>
              <w:ind w:left="0" w:firstLine="0"/>
            </w:pPr>
          </w:p>
        </w:tc>
      </w:tr>
    </w:tbl>
    <w:p w:rsidR="00000000" w:rsidRDefault="00B4631A"/>
    <w:sectPr w:rsidR="00000000">
      <w:headerReference w:type="even" r:id="rId7"/>
      <w:headerReference w:type="default" r:id="rId8"/>
      <w:headerReference w:type="first" r:id="rId9"/>
      <w:pgSz w:w="12240" w:h="15840"/>
      <w:pgMar w:top="2115" w:right="1361" w:bottom="1162" w:left="1340" w:header="49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4631A">
      <w:pPr>
        <w:spacing w:after="0" w:line="240" w:lineRule="auto"/>
      </w:pPr>
      <w:r>
        <w:separator/>
      </w:r>
    </w:p>
  </w:endnote>
  <w:endnote w:type="continuationSeparator" w:id="0">
    <w:p w:rsidR="00000000" w:rsidRDefault="00B4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4631A">
      <w:pPr>
        <w:spacing w:after="0" w:line="240" w:lineRule="auto"/>
      </w:pPr>
      <w:r>
        <w:separator/>
      </w:r>
    </w:p>
  </w:footnote>
  <w:footnote w:type="continuationSeparator" w:id="0">
    <w:p w:rsidR="00000000" w:rsidRDefault="00B46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F9" w:rsidRDefault="00B4631A">
    <w:pPr>
      <w:spacing w:after="0" w:line="259" w:lineRule="auto"/>
      <w:ind w:left="0" w:right="-976" w:firstLine="0"/>
      <w:jc w:val="right"/>
    </w:pPr>
    <w:r>
      <w:rPr>
        <w:noProof/>
      </w:rPr>
      <w:drawing>
        <wp:anchor distT="0" distB="0" distL="114300" distR="114300" simplePos="0" relativeHeight="251658240" behindDoc="0" locked="0" layoutInCell="1" allowOverlap="0">
          <wp:simplePos x="0" y="0"/>
          <wp:positionH relativeFrom="page">
            <wp:posOffset>760095</wp:posOffset>
          </wp:positionH>
          <wp:positionV relativeFrom="page">
            <wp:posOffset>312420</wp:posOffset>
          </wp:positionV>
          <wp:extent cx="3424174" cy="8858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424174" cy="885825"/>
                  </a:xfrm>
                  <a:prstGeom prst="rect">
                    <a:avLst/>
                  </a:prstGeom>
                </pic:spPr>
              </pic:pic>
            </a:graphicData>
          </a:graphic>
        </wp:anchor>
      </w:drawing>
    </w:r>
    <w:r>
      <w:rPr>
        <w:rFonts w:ascii="Cambria" w:eastAsia="Cambria" w:hAnsi="Cambria" w:cs="Cambria"/>
        <w:b/>
        <w:sz w:val="24"/>
      </w:rPr>
      <w:t>306 8</w:t>
    </w:r>
    <w:r>
      <w:rPr>
        <w:rFonts w:ascii="Cambria" w:eastAsia="Cambria" w:hAnsi="Cambria" w:cs="Cambria"/>
        <w:b/>
        <w:sz w:val="24"/>
        <w:vertAlign w:val="superscript"/>
      </w:rPr>
      <w:t>th</w:t>
    </w:r>
    <w:r>
      <w:rPr>
        <w:rFonts w:ascii="Cambria" w:eastAsia="Cambria" w:hAnsi="Cambria" w:cs="Cambria"/>
        <w:b/>
        <w:sz w:val="24"/>
      </w:rPr>
      <w:t xml:space="preserve"> Avenue South, Clinton, IA 52732 </w:t>
    </w:r>
  </w:p>
  <w:p w:rsidR="00D05FF9" w:rsidRDefault="00B4631A">
    <w:pPr>
      <w:spacing w:after="0" w:line="259" w:lineRule="auto"/>
      <w:ind w:left="0" w:right="-977" w:firstLine="0"/>
      <w:jc w:val="right"/>
    </w:pPr>
    <w:r>
      <w:rPr>
        <w:rFonts w:ascii="Cambria" w:eastAsia="Cambria" w:hAnsi="Cambria" w:cs="Cambria"/>
        <w:b/>
        <w:sz w:val="24"/>
      </w:rPr>
      <w:t xml:space="preserve">563-242-8441 </w:t>
    </w:r>
  </w:p>
  <w:p w:rsidR="00D05FF9" w:rsidRDefault="00B4631A">
    <w:pPr>
      <w:spacing w:after="0" w:line="259" w:lineRule="auto"/>
      <w:ind w:left="0" w:right="-977" w:firstLine="0"/>
      <w:jc w:val="right"/>
    </w:pPr>
    <w:r>
      <w:rPr>
        <w:rFonts w:ascii="Cambria" w:eastAsia="Cambria" w:hAnsi="Cambria" w:cs="Cambria"/>
        <w:b/>
        <w:sz w:val="24"/>
      </w:rPr>
      <w:t xml:space="preserve">www.clintonpubliclibrary.us </w:t>
    </w:r>
  </w:p>
  <w:p w:rsidR="00D05FF9" w:rsidRDefault="00B4631A">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5801" name="Group 580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0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F9" w:rsidRDefault="00B4631A">
    <w:pPr>
      <w:spacing w:after="0" w:line="259" w:lineRule="auto"/>
      <w:ind w:left="0" w:right="-976" w:firstLine="0"/>
      <w:jc w:val="right"/>
    </w:pPr>
    <w:r>
      <w:rPr>
        <w:rFonts w:ascii="Cambria" w:eastAsia="Cambria" w:hAnsi="Cambria" w:cs="Cambria"/>
        <w:b/>
        <w:sz w:val="24"/>
      </w:rPr>
      <w:t>306 8</w:t>
    </w:r>
    <w:r>
      <w:rPr>
        <w:rFonts w:ascii="Cambria" w:eastAsia="Cambria" w:hAnsi="Cambria" w:cs="Cambria"/>
        <w:b/>
        <w:sz w:val="24"/>
        <w:vertAlign w:val="superscript"/>
      </w:rPr>
      <w:t>th</w:t>
    </w:r>
    <w:r>
      <w:rPr>
        <w:rFonts w:ascii="Cambria" w:eastAsia="Cambria" w:hAnsi="Cambria" w:cs="Cambria"/>
        <w:b/>
        <w:sz w:val="24"/>
      </w:rPr>
      <w:t xml:space="preserve"> Avenue South, Clinton, IA 52732 </w:t>
    </w:r>
  </w:p>
  <w:p w:rsidR="00D05FF9" w:rsidRDefault="00B4631A">
    <w:pPr>
      <w:spacing w:after="0" w:line="259" w:lineRule="auto"/>
      <w:ind w:left="0" w:right="-977" w:firstLine="0"/>
      <w:jc w:val="right"/>
    </w:pPr>
    <w:r>
      <w:rPr>
        <w:rFonts w:ascii="Cambria" w:eastAsia="Cambria" w:hAnsi="Cambria" w:cs="Cambria"/>
        <w:b/>
        <w:sz w:val="24"/>
      </w:rPr>
      <w:t xml:space="preserve">563-242-8441 </w:t>
    </w:r>
  </w:p>
  <w:p w:rsidR="00D05FF9" w:rsidRDefault="00B4631A">
    <w:pPr>
      <w:spacing w:after="0" w:line="259" w:lineRule="auto"/>
      <w:ind w:left="0" w:right="-977" w:firstLine="0"/>
      <w:jc w:val="right"/>
    </w:pPr>
    <w:r>
      <w:rPr>
        <w:rFonts w:ascii="Cambria" w:eastAsia="Cambria" w:hAnsi="Cambria" w:cs="Cambria"/>
        <w:b/>
        <w:sz w:val="24"/>
      </w:rPr>
      <w:t xml:space="preserve">www.clintonpubliclibrary.us </w:t>
    </w:r>
  </w:p>
  <w:p w:rsidR="00D05FF9" w:rsidRDefault="00B4631A">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760095</wp:posOffset>
              </wp:positionH>
              <wp:positionV relativeFrom="page">
                <wp:posOffset>312420</wp:posOffset>
              </wp:positionV>
              <wp:extent cx="3424174" cy="885825"/>
              <wp:effectExtent l="0" t="0" r="0" b="0"/>
              <wp:wrapNone/>
              <wp:docPr id="5775" name="Group 5775"/>
              <wp:cNvGraphicFramePr/>
              <a:graphic xmlns:a="http://schemas.openxmlformats.org/drawingml/2006/main">
                <a:graphicData uri="http://schemas.microsoft.com/office/word/2010/wordprocessingGroup">
                  <wpg:wgp>
                    <wpg:cNvGrpSpPr/>
                    <wpg:grpSpPr>
                      <a:xfrm>
                        <a:off x="0" y="0"/>
                        <a:ext cx="3424174" cy="885825"/>
                        <a:chOff x="0" y="0"/>
                        <a:chExt cx="3424174" cy="885825"/>
                      </a:xfrm>
                    </wpg:grpSpPr>
                    <pic:pic xmlns:pic="http://schemas.openxmlformats.org/drawingml/2006/picture">
                      <pic:nvPicPr>
                        <pic:cNvPr id="5776" name="Picture 5776"/>
                        <pic:cNvPicPr/>
                      </pic:nvPicPr>
                      <pic:blipFill>
                        <a:blip r:embed="rId1"/>
                        <a:stretch>
                          <a:fillRect/>
                        </a:stretch>
                      </pic:blipFill>
                      <pic:spPr>
                        <a:xfrm>
                          <a:off x="0" y="0"/>
                          <a:ext cx="3424174" cy="885825"/>
                        </a:xfrm>
                        <a:prstGeom prst="rect">
                          <a:avLst/>
                        </a:prstGeom>
                      </pic:spPr>
                    </pic:pic>
                  </wpg:wgp>
                </a:graphicData>
              </a:graphic>
            </wp:anchor>
          </w:drawing>
        </mc:Choice>
        <mc:Fallback xmlns:a="http://schemas.openxmlformats.org/drawingml/2006/main">
          <w:pict>
            <v:group id="Group 5775" style="width:269.62pt;height:69.75pt;position:absolute;z-index:-2147483648;mso-position-horizontal-relative:page;mso-position-horizontal:absolute;margin-left:59.85pt;mso-position-vertical-relative:page;margin-top:24.6pt;" coordsize="34241,8858">
              <v:shape id="Picture 5776" style="position:absolute;width:34241;height:8858;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F9" w:rsidRDefault="00B4631A">
    <w:pPr>
      <w:spacing w:after="0" w:line="259" w:lineRule="auto"/>
      <w:ind w:left="0" w:right="-976" w:firstLine="0"/>
      <w:jc w:val="right"/>
    </w:pPr>
    <w:r>
      <w:rPr>
        <w:noProof/>
      </w:rPr>
      <w:drawing>
        <wp:anchor distT="0" distB="0" distL="114300" distR="114300" simplePos="0" relativeHeight="251661312" behindDoc="0" locked="0" layoutInCell="1" allowOverlap="0">
          <wp:simplePos x="0" y="0"/>
          <wp:positionH relativeFrom="page">
            <wp:posOffset>760095</wp:posOffset>
          </wp:positionH>
          <wp:positionV relativeFrom="page">
            <wp:posOffset>312420</wp:posOffset>
          </wp:positionV>
          <wp:extent cx="3424174" cy="8858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424174" cy="885825"/>
                  </a:xfrm>
                  <a:prstGeom prst="rect">
                    <a:avLst/>
                  </a:prstGeom>
                </pic:spPr>
              </pic:pic>
            </a:graphicData>
          </a:graphic>
        </wp:anchor>
      </w:drawing>
    </w:r>
    <w:r>
      <w:rPr>
        <w:rFonts w:ascii="Cambria" w:eastAsia="Cambria" w:hAnsi="Cambria" w:cs="Cambria"/>
        <w:b/>
        <w:sz w:val="24"/>
      </w:rPr>
      <w:t>306 8</w:t>
    </w:r>
    <w:r>
      <w:rPr>
        <w:rFonts w:ascii="Cambria" w:eastAsia="Cambria" w:hAnsi="Cambria" w:cs="Cambria"/>
        <w:b/>
        <w:sz w:val="24"/>
        <w:vertAlign w:val="superscript"/>
      </w:rPr>
      <w:t>th</w:t>
    </w:r>
    <w:r>
      <w:rPr>
        <w:rFonts w:ascii="Cambria" w:eastAsia="Cambria" w:hAnsi="Cambria" w:cs="Cambria"/>
        <w:b/>
        <w:sz w:val="24"/>
      </w:rPr>
      <w:t xml:space="preserve"> Avenue South, Clinton, IA 52732 </w:t>
    </w:r>
  </w:p>
  <w:p w:rsidR="00D05FF9" w:rsidRDefault="00B4631A">
    <w:pPr>
      <w:spacing w:after="0" w:line="259" w:lineRule="auto"/>
      <w:ind w:left="0" w:right="-977" w:firstLine="0"/>
      <w:jc w:val="right"/>
    </w:pPr>
    <w:r>
      <w:rPr>
        <w:rFonts w:ascii="Cambria" w:eastAsia="Cambria" w:hAnsi="Cambria" w:cs="Cambria"/>
        <w:b/>
        <w:sz w:val="24"/>
      </w:rPr>
      <w:t xml:space="preserve">563-242-8441 </w:t>
    </w:r>
  </w:p>
  <w:p w:rsidR="00D05FF9" w:rsidRDefault="00B4631A">
    <w:pPr>
      <w:spacing w:after="0" w:line="259" w:lineRule="auto"/>
      <w:ind w:left="0" w:right="-977" w:firstLine="0"/>
      <w:jc w:val="right"/>
    </w:pPr>
    <w:r>
      <w:rPr>
        <w:rFonts w:ascii="Cambria" w:eastAsia="Cambria" w:hAnsi="Cambria" w:cs="Cambria"/>
        <w:b/>
        <w:sz w:val="24"/>
      </w:rPr>
      <w:t xml:space="preserve">www.clintonpubliclibrary.us </w:t>
    </w:r>
  </w:p>
  <w:p w:rsidR="00D05FF9" w:rsidRDefault="00B4631A">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5752" name="Group 575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75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913A3"/>
    <w:multiLevelType w:val="hybridMultilevel"/>
    <w:tmpl w:val="324AA750"/>
    <w:lvl w:ilvl="0" w:tplc="21AAD052">
      <w:start w:val="1"/>
      <w:numFmt w:val="bullet"/>
      <w:lvlText w:val="●"/>
      <w:lvlJc w:val="left"/>
      <w:pPr>
        <w:ind w:left="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7EF0C2">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18E94A">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CA14BA">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50567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226A32">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07B1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A43C5C">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460D8A">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703571"/>
    <w:multiLevelType w:val="hybridMultilevel"/>
    <w:tmpl w:val="F0BCDEC2"/>
    <w:lvl w:ilvl="0" w:tplc="6FF2F9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2F5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4887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EE4F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CD7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8E29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0F7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5A19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808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322509"/>
    <w:multiLevelType w:val="hybridMultilevel"/>
    <w:tmpl w:val="EE06E6C4"/>
    <w:lvl w:ilvl="0" w:tplc="ADBC7B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CC1C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A660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C279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F80D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B24D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8A4E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8E05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4268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960802"/>
    <w:multiLevelType w:val="hybridMultilevel"/>
    <w:tmpl w:val="CBC49C74"/>
    <w:lvl w:ilvl="0" w:tplc="BDA02160">
      <w:start w:val="1"/>
      <w:numFmt w:val="bullet"/>
      <w:lvlText w:val="●"/>
      <w:lvlJc w:val="left"/>
      <w:pPr>
        <w:ind w:left="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E48F8A">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EA4894">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6EFEEC">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EE0D9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5497DC">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A6A4C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4E0CC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3CF24A">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F9"/>
    <w:rsid w:val="00B4631A"/>
    <w:rsid w:val="00D0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7C33C-9E6D-43D0-9929-E1B001BC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line="271" w:lineRule="auto"/>
      <w:ind w:left="10" w:hanging="10"/>
    </w:pPr>
    <w:rPr>
      <w:rFonts w:ascii="Segoe UI" w:eastAsia="Segoe UI" w:hAnsi="Segoe UI" w:cs="Segoe UI"/>
      <w:color w:val="000000"/>
    </w:rPr>
  </w:style>
  <w:style w:type="paragraph" w:styleId="Heading1">
    <w:name w:val="heading 1"/>
    <w:next w:val="Normal"/>
    <w:link w:val="Heading1Char"/>
    <w:uiPriority w:val="9"/>
    <w:qFormat/>
    <w:pPr>
      <w:keepNext/>
      <w:keepLines/>
      <w:spacing w:after="39"/>
      <w:outlineLvl w:val="0"/>
    </w:pPr>
    <w:rPr>
      <w:rFonts w:ascii="Segoe UI" w:eastAsia="Segoe UI" w:hAnsi="Segoe UI" w:cs="Segoe U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Mesecher</dc:creator>
  <cp:keywords/>
  <cp:lastModifiedBy>Rachel</cp:lastModifiedBy>
  <cp:revision>2</cp:revision>
  <dcterms:created xsi:type="dcterms:W3CDTF">2021-02-20T16:36:00Z</dcterms:created>
  <dcterms:modified xsi:type="dcterms:W3CDTF">2021-02-20T16:36:00Z</dcterms:modified>
</cp:coreProperties>
</file>