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70B" w:rsidRDefault="000947C3">
      <w:pPr>
        <w:spacing w:after="2" w:line="259" w:lineRule="auto"/>
        <w:ind w:left="-5"/>
      </w:pPr>
      <w:r>
        <w:rPr>
          <w:rFonts w:ascii="Calibri" w:eastAsia="Calibri" w:hAnsi="Calibri" w:cs="Calibri"/>
          <w:sz w:val="28"/>
        </w:rPr>
        <w:t>306 8</w:t>
      </w:r>
      <w:r>
        <w:rPr>
          <w:rFonts w:ascii="Calibri" w:eastAsia="Calibri" w:hAnsi="Calibri" w:cs="Calibri"/>
          <w:sz w:val="28"/>
          <w:vertAlign w:val="superscript"/>
        </w:rPr>
        <w:t>th</w:t>
      </w:r>
      <w:r>
        <w:rPr>
          <w:rFonts w:ascii="Calibri" w:eastAsia="Calibri" w:hAnsi="Calibri" w:cs="Calibri"/>
          <w:sz w:val="28"/>
        </w:rPr>
        <w:t xml:space="preserve"> Ave S </w:t>
      </w:r>
    </w:p>
    <w:p w:rsidR="00AB270B" w:rsidRDefault="000947C3">
      <w:pPr>
        <w:spacing w:after="2" w:line="259" w:lineRule="auto"/>
        <w:ind w:left="-5"/>
      </w:pPr>
      <w:r>
        <w:rPr>
          <w:rFonts w:ascii="Calibri" w:eastAsia="Calibri" w:hAnsi="Calibri" w:cs="Calibri"/>
          <w:sz w:val="28"/>
        </w:rPr>
        <w:t xml:space="preserve">Clinton, IA 52732 </w:t>
      </w:r>
    </w:p>
    <w:p w:rsidR="000947C3" w:rsidRDefault="000947C3">
      <w:pPr>
        <w:spacing w:after="1244" w:line="240" w:lineRule="auto"/>
        <w:ind w:left="0" w:firstLine="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563.242.8441 </w:t>
      </w:r>
    </w:p>
    <w:p w:rsidR="00AB270B" w:rsidRDefault="000947C3">
      <w:pPr>
        <w:spacing w:after="1244" w:line="240" w:lineRule="auto"/>
        <w:ind w:lef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2990850</wp:posOffset>
            </wp:positionH>
            <wp:positionV relativeFrom="paragraph">
              <wp:posOffset>0</wp:posOffset>
            </wp:positionV>
            <wp:extent cx="1637030" cy="962660"/>
            <wp:effectExtent l="0" t="0" r="1270" b="889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3703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6" w:history="1">
        <w:r w:rsidRPr="00AD59AB">
          <w:rPr>
            <w:rStyle w:val="Hyperlink"/>
            <w:rFonts w:ascii="Calibri" w:eastAsia="Calibri" w:hAnsi="Calibri" w:cs="Calibri"/>
            <w:sz w:val="28"/>
          </w:rPr>
          <w:t>www.clintonpubliclibrary.us</w:t>
        </w:r>
      </w:hyperlink>
      <w:hyperlink r:id="rId7">
        <w:r>
          <w:rPr>
            <w:rFonts w:ascii="Calibri" w:eastAsia="Calibri" w:hAnsi="Calibri" w:cs="Calibri"/>
            <w:sz w:val="28"/>
          </w:rPr>
          <w:t xml:space="preserve"> </w:t>
        </w:r>
      </w:hyperlink>
      <w:r>
        <w:rPr>
          <w:rFonts w:ascii="Calibri" w:eastAsia="Calibri" w:hAnsi="Calibri" w:cs="Calibri"/>
          <w:color w:val="0563C1"/>
          <w:sz w:val="28"/>
          <w:u w:val="single" w:color="0563C1"/>
        </w:rPr>
        <w:t>info@clintonpubliclibrary.us</w:t>
      </w:r>
      <w:r>
        <w:rPr>
          <w:rFonts w:ascii="Calibri" w:eastAsia="Calibri" w:hAnsi="Calibri" w:cs="Calibri"/>
          <w:sz w:val="28"/>
        </w:rPr>
        <w:t xml:space="preserve"> Social Media: @</w:t>
      </w:r>
      <w:proofErr w:type="spellStart"/>
      <w:r>
        <w:rPr>
          <w:rFonts w:ascii="Calibri" w:eastAsia="Calibri" w:hAnsi="Calibri" w:cs="Calibri"/>
          <w:sz w:val="28"/>
        </w:rPr>
        <w:t>iacpl</w:t>
      </w:r>
      <w:proofErr w:type="spellEnd"/>
    </w:p>
    <w:p w:rsidR="00AB270B" w:rsidRDefault="000947C3">
      <w:pPr>
        <w:spacing w:after="0" w:line="259" w:lineRule="auto"/>
        <w:ind w:left="0" w:firstLine="0"/>
      </w:pPr>
      <w:r>
        <w:rPr>
          <w:b/>
        </w:rPr>
        <w:t xml:space="preserve">Request for Removal of Materials. </w:t>
      </w:r>
    </w:p>
    <w:p w:rsidR="00AB270B" w:rsidRDefault="00AB270B">
      <w:pPr>
        <w:sectPr w:rsidR="00AB270B" w:rsidSect="000947C3">
          <w:pgSz w:w="12240" w:h="15840"/>
          <w:pgMar w:top="720" w:right="1080" w:bottom="1440" w:left="1454" w:header="720" w:footer="720" w:gutter="0"/>
          <w:cols w:num="2" w:space="720" w:equalWidth="0">
            <w:col w:w="2005" w:space="843"/>
            <w:col w:w="6857"/>
          </w:cols>
        </w:sectPr>
      </w:pPr>
    </w:p>
    <w:p w:rsidR="00AB270B" w:rsidRDefault="000947C3">
      <w:pPr>
        <w:spacing w:after="366"/>
        <w:ind w:left="-5" w:right="2"/>
      </w:pPr>
      <w:r>
        <w:t xml:space="preserve">Individual(s) objecting to the inclusion of certain materials in the collections of the Clinton Public Library must fulfill the following criteria for reconsideration of those items:  </w:t>
      </w:r>
    </w:p>
    <w:p w:rsidR="00AB270B" w:rsidRDefault="000947C3">
      <w:pPr>
        <w:numPr>
          <w:ilvl w:val="0"/>
          <w:numId w:val="1"/>
        </w:numPr>
        <w:ind w:right="2" w:hanging="247"/>
      </w:pPr>
      <w:r>
        <w:t>Have or be eligible</w:t>
      </w:r>
      <w:r>
        <w:t xml:space="preserve"> to hold a library card issued by the Clinton Public Library.</w:t>
      </w:r>
    </w:p>
    <w:p w:rsidR="00AB270B" w:rsidRDefault="000947C3">
      <w:pPr>
        <w:numPr>
          <w:ilvl w:val="0"/>
          <w:numId w:val="1"/>
        </w:numPr>
        <w:spacing w:after="20" w:line="259" w:lineRule="auto"/>
        <w:ind w:right="2" w:hanging="247"/>
      </w:pPr>
      <w:r>
        <w:t xml:space="preserve">Complete the form </w:t>
      </w:r>
      <w:r>
        <w:rPr>
          <w:i/>
        </w:rPr>
        <w:t>Request for Reconsideration of Library Materials</w:t>
      </w:r>
      <w:r>
        <w:t xml:space="preserve"> form.</w:t>
      </w:r>
    </w:p>
    <w:p w:rsidR="00AB270B" w:rsidRDefault="000947C3">
      <w:pPr>
        <w:numPr>
          <w:ilvl w:val="0"/>
          <w:numId w:val="1"/>
        </w:numPr>
        <w:spacing w:after="344"/>
        <w:ind w:right="2" w:hanging="247"/>
      </w:pPr>
      <w:r>
        <w:t xml:space="preserve">Present the signed </w:t>
      </w:r>
      <w:r>
        <w:rPr>
          <w:i/>
        </w:rPr>
        <w:t>Request for Reconsideration of Library Materials</w:t>
      </w:r>
      <w:r>
        <w:t xml:space="preserve"> form to the Library Director. </w:t>
      </w:r>
    </w:p>
    <w:p w:rsidR="00AB270B" w:rsidRDefault="000947C3">
      <w:pPr>
        <w:spacing w:after="365"/>
        <w:ind w:left="-5" w:right="2"/>
      </w:pPr>
      <w:r>
        <w:t>The Library Director o</w:t>
      </w:r>
      <w:r>
        <w:t xml:space="preserve">f the Clinton Public Library will respond with the following process:  </w:t>
      </w:r>
    </w:p>
    <w:p w:rsidR="00AB270B" w:rsidRDefault="000947C3">
      <w:pPr>
        <w:numPr>
          <w:ilvl w:val="0"/>
          <w:numId w:val="2"/>
        </w:numPr>
        <w:ind w:right="2" w:hanging="247"/>
      </w:pPr>
      <w:r>
        <w:t>Acquire review sources for the item as available.</w:t>
      </w:r>
    </w:p>
    <w:p w:rsidR="00AB270B" w:rsidRDefault="000947C3">
      <w:pPr>
        <w:numPr>
          <w:ilvl w:val="0"/>
          <w:numId w:val="2"/>
        </w:numPr>
        <w:ind w:right="2" w:hanging="247"/>
      </w:pPr>
      <w:r>
        <w:t>Review documents will be provided by mail to the complaining party.</w:t>
      </w:r>
    </w:p>
    <w:p w:rsidR="00AB270B" w:rsidRDefault="000947C3">
      <w:pPr>
        <w:numPr>
          <w:ilvl w:val="0"/>
          <w:numId w:val="2"/>
        </w:numPr>
        <w:ind w:right="2" w:hanging="247"/>
      </w:pPr>
      <w:r>
        <w:t>Copies of the complaint form, review materials and general stateme</w:t>
      </w:r>
      <w:r>
        <w:t xml:space="preserve">nt of Library Director will be forwarded to the Clinton Public Library Board of Trustees for consideration at their next meeting.  </w:t>
      </w:r>
    </w:p>
    <w:p w:rsidR="00AB270B" w:rsidRDefault="000947C3">
      <w:pPr>
        <w:numPr>
          <w:ilvl w:val="0"/>
          <w:numId w:val="2"/>
        </w:numPr>
        <w:ind w:right="2" w:hanging="247"/>
      </w:pPr>
      <w:r>
        <w:t xml:space="preserve">A trustee will be selected to review contents of item in question as well as review </w:t>
      </w:r>
      <w:r>
        <w:t>materials and Library Director’s stateme</w:t>
      </w:r>
      <w:r>
        <w:t xml:space="preserve">nt. </w:t>
      </w:r>
    </w:p>
    <w:p w:rsidR="00AB270B" w:rsidRDefault="000947C3">
      <w:pPr>
        <w:numPr>
          <w:ilvl w:val="0"/>
          <w:numId w:val="2"/>
        </w:numPr>
        <w:ind w:right="2" w:hanging="247"/>
      </w:pPr>
      <w:r>
        <w:t xml:space="preserve">Trustee will report to the board at the next regularly scheduled meeting upon which a determination may be made.  </w:t>
      </w:r>
    </w:p>
    <w:p w:rsidR="00AB270B" w:rsidRDefault="000947C3">
      <w:pPr>
        <w:numPr>
          <w:ilvl w:val="0"/>
          <w:numId w:val="2"/>
        </w:numPr>
        <w:spacing w:after="373"/>
        <w:ind w:right="2" w:hanging="247"/>
      </w:pPr>
      <w:r>
        <w:t xml:space="preserve">Materials under reconsideration will remain in the collection and available to the </w:t>
      </w:r>
      <w:bookmarkStart w:id="0" w:name="_GoBack"/>
      <w:bookmarkEnd w:id="0"/>
      <w:r>
        <w:t xml:space="preserve">public until a decision of the Board of Trustees is reached. </w:t>
      </w:r>
    </w:p>
    <w:tbl>
      <w:tblPr>
        <w:tblStyle w:val="TableGrid"/>
        <w:tblW w:w="9341" w:type="dxa"/>
        <w:tblInd w:w="14" w:type="dxa"/>
        <w:tblCellMar>
          <w:top w:w="82" w:type="dxa"/>
          <w:left w:w="108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1976"/>
        <w:gridCol w:w="2153"/>
        <w:gridCol w:w="2122"/>
        <w:gridCol w:w="3090"/>
      </w:tblGrid>
      <w:tr w:rsidR="00AB270B" w:rsidTr="000947C3">
        <w:trPr>
          <w:trHeight w:val="648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0B" w:rsidRDefault="000947C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Adopted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0B" w:rsidRDefault="000947C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Revised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0B" w:rsidRDefault="000947C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Reviewed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0B" w:rsidRDefault="000947C3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Date of next review </w:t>
            </w:r>
          </w:p>
        </w:tc>
      </w:tr>
      <w:tr w:rsidR="00AB270B" w:rsidTr="000947C3">
        <w:trPr>
          <w:trHeight w:val="394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B270B" w:rsidRDefault="000947C3">
            <w:pPr>
              <w:spacing w:after="0" w:line="259" w:lineRule="auto"/>
              <w:ind w:left="0" w:firstLine="0"/>
            </w:pPr>
            <w:r>
              <w:t xml:space="preserve">5/2010 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0B" w:rsidRDefault="000947C3">
            <w:pPr>
              <w:spacing w:after="0" w:line="259" w:lineRule="auto"/>
              <w:ind w:left="0" w:firstLine="0"/>
            </w:pPr>
            <w:r>
              <w:t xml:space="preserve">4/2018 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0B" w:rsidRDefault="000947C3">
            <w:pPr>
              <w:spacing w:after="0" w:line="259" w:lineRule="auto"/>
              <w:ind w:left="0" w:firstLine="0"/>
            </w:pPr>
            <w:r>
              <w:t xml:space="preserve">2015 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0B" w:rsidRDefault="000947C3">
            <w:pPr>
              <w:spacing w:after="0" w:line="259" w:lineRule="auto"/>
              <w:ind w:left="56" w:firstLine="0"/>
            </w:pPr>
            <w:r>
              <w:t>12/2024</w:t>
            </w:r>
          </w:p>
        </w:tc>
      </w:tr>
      <w:tr w:rsidR="00AB270B" w:rsidTr="000947C3">
        <w:trPr>
          <w:trHeight w:val="329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0B" w:rsidRDefault="00AB270B">
            <w:pPr>
              <w:spacing w:after="160" w:line="259" w:lineRule="auto"/>
              <w:ind w:left="0" w:firstLine="0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0B" w:rsidRDefault="000947C3">
            <w:pPr>
              <w:spacing w:after="0" w:line="259" w:lineRule="auto"/>
              <w:ind w:left="29" w:firstLine="0"/>
            </w:pPr>
            <w:r>
              <w:t>12/2021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0B" w:rsidRDefault="000947C3">
            <w:pPr>
              <w:spacing w:after="0" w:line="259" w:lineRule="auto"/>
              <w:ind w:left="52" w:firstLine="0"/>
            </w:pPr>
            <w:r>
              <w:t>12/2021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0B" w:rsidRDefault="00AB270B">
            <w:pPr>
              <w:spacing w:after="160" w:line="259" w:lineRule="auto"/>
              <w:ind w:left="0" w:firstLine="0"/>
            </w:pPr>
          </w:p>
        </w:tc>
      </w:tr>
      <w:tr w:rsidR="00AB270B" w:rsidTr="000947C3">
        <w:trPr>
          <w:trHeight w:hRule="exact" w:val="43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0B" w:rsidRDefault="00AB270B">
            <w:pPr>
              <w:spacing w:after="160" w:line="259" w:lineRule="auto"/>
              <w:ind w:left="0" w:firstLine="0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0B" w:rsidRDefault="00AB270B">
            <w:pPr>
              <w:spacing w:after="160" w:line="259" w:lineRule="auto"/>
              <w:ind w:left="0" w:firstLine="0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0B" w:rsidRDefault="00AB270B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0B" w:rsidRDefault="00AB270B">
            <w:pPr>
              <w:spacing w:after="160" w:line="259" w:lineRule="auto"/>
              <w:ind w:left="0" w:firstLine="0"/>
            </w:pPr>
          </w:p>
        </w:tc>
      </w:tr>
      <w:tr w:rsidR="00AB270B" w:rsidTr="000947C3">
        <w:trPr>
          <w:trHeight w:hRule="exact" w:val="432"/>
        </w:trPr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0B" w:rsidRDefault="00AB270B">
            <w:pPr>
              <w:spacing w:after="160" w:line="259" w:lineRule="auto"/>
              <w:ind w:left="0" w:firstLine="0"/>
            </w:pP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0B" w:rsidRDefault="00AB270B">
            <w:pPr>
              <w:spacing w:after="160" w:line="259" w:lineRule="auto"/>
              <w:ind w:left="0" w:firstLine="0"/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0B" w:rsidRDefault="00AB270B">
            <w:pPr>
              <w:spacing w:after="160" w:line="259" w:lineRule="auto"/>
              <w:ind w:left="0" w:firstLine="0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270B" w:rsidRDefault="00AB270B">
            <w:pPr>
              <w:spacing w:after="160" w:line="259" w:lineRule="auto"/>
              <w:ind w:left="0" w:firstLine="0"/>
            </w:pPr>
          </w:p>
        </w:tc>
      </w:tr>
    </w:tbl>
    <w:p w:rsidR="00000000" w:rsidRDefault="000947C3" w:rsidP="000947C3">
      <w:pPr>
        <w:ind w:left="0" w:firstLine="0"/>
      </w:pPr>
    </w:p>
    <w:sectPr w:rsidR="00000000" w:rsidSect="000947C3">
      <w:type w:val="continuous"/>
      <w:pgSz w:w="12240" w:h="15840"/>
      <w:pgMar w:top="720" w:right="1440" w:bottom="1987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577995"/>
    <w:multiLevelType w:val="hybridMultilevel"/>
    <w:tmpl w:val="1B62FE02"/>
    <w:lvl w:ilvl="0" w:tplc="40A4622C">
      <w:start w:val="1"/>
      <w:numFmt w:val="decimal"/>
      <w:lvlText w:val="%1."/>
      <w:lvlJc w:val="left"/>
      <w:pPr>
        <w:ind w:left="2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45B8E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4C3F44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428A2E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709A84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AE7BDE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251C4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0A4EC0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C6B9BA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0C96AD2"/>
    <w:multiLevelType w:val="hybridMultilevel"/>
    <w:tmpl w:val="B6B84DF6"/>
    <w:lvl w:ilvl="0" w:tplc="38F0C96C">
      <w:start w:val="1"/>
      <w:numFmt w:val="decimal"/>
      <w:lvlText w:val="%1."/>
      <w:lvlJc w:val="left"/>
      <w:pPr>
        <w:ind w:left="247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A9150">
      <w:start w:val="1"/>
      <w:numFmt w:val="lowerLetter"/>
      <w:lvlText w:val="%2"/>
      <w:lvlJc w:val="left"/>
      <w:pPr>
        <w:ind w:left="10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0E9976">
      <w:start w:val="1"/>
      <w:numFmt w:val="lowerRoman"/>
      <w:lvlText w:val="%3"/>
      <w:lvlJc w:val="left"/>
      <w:pPr>
        <w:ind w:left="18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54B40C">
      <w:start w:val="1"/>
      <w:numFmt w:val="decimal"/>
      <w:lvlText w:val="%4"/>
      <w:lvlJc w:val="left"/>
      <w:pPr>
        <w:ind w:left="25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284BCE">
      <w:start w:val="1"/>
      <w:numFmt w:val="lowerLetter"/>
      <w:lvlText w:val="%5"/>
      <w:lvlJc w:val="left"/>
      <w:pPr>
        <w:ind w:left="324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222BBA">
      <w:start w:val="1"/>
      <w:numFmt w:val="lowerRoman"/>
      <w:lvlText w:val="%6"/>
      <w:lvlJc w:val="left"/>
      <w:pPr>
        <w:ind w:left="396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480618">
      <w:start w:val="1"/>
      <w:numFmt w:val="decimal"/>
      <w:lvlText w:val="%7"/>
      <w:lvlJc w:val="left"/>
      <w:pPr>
        <w:ind w:left="468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E8778">
      <w:start w:val="1"/>
      <w:numFmt w:val="lowerLetter"/>
      <w:lvlText w:val="%8"/>
      <w:lvlJc w:val="left"/>
      <w:pPr>
        <w:ind w:left="540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62406A">
      <w:start w:val="1"/>
      <w:numFmt w:val="lowerRoman"/>
      <w:lvlText w:val="%9"/>
      <w:lvlJc w:val="left"/>
      <w:pPr>
        <w:ind w:left="6120"/>
      </w:pPr>
      <w:rPr>
        <w:rFonts w:ascii="Segoe UI" w:eastAsia="Segoe UI" w:hAnsi="Segoe UI" w:cs="Segoe U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70B"/>
    <w:rsid w:val="000947C3"/>
    <w:rsid w:val="00AB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1C04"/>
  <w15:docId w15:val="{54D7642A-1881-4B9D-A3CF-08D8FAA37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1" w:line="258" w:lineRule="auto"/>
      <w:ind w:left="10" w:hanging="10"/>
    </w:pPr>
    <w:rPr>
      <w:rFonts w:ascii="Segoe UI" w:eastAsia="Segoe UI" w:hAnsi="Segoe UI" w:cs="Segoe U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947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7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intonpubliclibrary.u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intonpubliclibrary.u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Evers</dc:creator>
  <cp:keywords/>
  <cp:lastModifiedBy>Rachel</cp:lastModifiedBy>
  <cp:revision>2</cp:revision>
  <dcterms:created xsi:type="dcterms:W3CDTF">2021-12-23T19:22:00Z</dcterms:created>
  <dcterms:modified xsi:type="dcterms:W3CDTF">2021-12-23T19:22:00Z</dcterms:modified>
</cp:coreProperties>
</file>